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74597C" w:rsidRDefault="002A3CD3" w:rsidP="0074597C">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LEGISLACION</w:t>
      </w:r>
    </w:p>
    <w:p w:rsidR="002A3CD3" w:rsidRDefault="002A3CD3" w:rsidP="0074597C">
      <w:pPr>
        <w:pStyle w:val="NormalWeb"/>
        <w:spacing w:before="0" w:beforeAutospacing="0" w:after="0" w:afterAutospacing="0"/>
        <w:jc w:val="both"/>
        <w:rPr>
          <w:rFonts w:ascii="Arial" w:hAnsi="Arial" w:cs="Arial"/>
          <w:b/>
          <w:bCs/>
          <w:caps/>
          <w:color w:val="002F5D"/>
          <w:sz w:val="21"/>
          <w:szCs w:val="21"/>
        </w:rPr>
      </w:pPr>
    </w:p>
    <w:p w:rsidR="00EF2012" w:rsidRDefault="00EF2012" w:rsidP="00EF2012">
      <w:pPr>
        <w:pStyle w:val="NormalWeb"/>
        <w:spacing w:before="0" w:beforeAutospacing="0" w:after="0" w:afterAutospacing="0"/>
        <w:jc w:val="both"/>
        <w:rPr>
          <w:rFonts w:ascii="Arial" w:hAnsi="Arial" w:cs="Arial"/>
          <w:b/>
          <w:bCs/>
          <w:caps/>
          <w:color w:val="002F5D"/>
          <w:sz w:val="21"/>
          <w:szCs w:val="21"/>
        </w:rPr>
      </w:pPr>
      <w:r w:rsidRPr="000A6256">
        <w:rPr>
          <w:rFonts w:ascii="Arial" w:hAnsi="Arial" w:cs="Arial"/>
          <w:b/>
          <w:bCs/>
          <w:caps/>
          <w:color w:val="002F5D"/>
          <w:sz w:val="21"/>
          <w:szCs w:val="21"/>
        </w:rPr>
        <w:t>Consenso Fiscal 2020</w:t>
      </w:r>
      <w:r>
        <w:rPr>
          <w:rFonts w:ascii="Arial" w:hAnsi="Arial" w:cs="Arial"/>
          <w:b/>
          <w:bCs/>
          <w:caps/>
          <w:color w:val="002F5D"/>
          <w:sz w:val="21"/>
          <w:szCs w:val="21"/>
        </w:rPr>
        <w:t xml:space="preserve"> - Texto firmado el 4/12/2020</w:t>
      </w:r>
    </w:p>
    <w:p w:rsidR="004F19F5" w:rsidRDefault="004F19F5" w:rsidP="004F19F5">
      <w:pPr>
        <w:pStyle w:val="NormalWeb"/>
        <w:spacing w:before="0" w:beforeAutospacing="0" w:after="0" w:afterAutospacing="0"/>
        <w:jc w:val="both"/>
        <w:rPr>
          <w:rFonts w:ascii="Arial" w:hAnsi="Arial" w:cs="Arial"/>
          <w:b/>
          <w:bCs/>
          <w:caps/>
          <w:color w:val="002F5D"/>
          <w:sz w:val="21"/>
          <w:szCs w:val="21"/>
        </w:rPr>
      </w:pPr>
    </w:p>
    <w:p w:rsidR="004F19F5" w:rsidRDefault="004F19F5" w:rsidP="004F19F5">
      <w:pPr>
        <w:pStyle w:val="NormalWeb"/>
        <w:spacing w:before="0" w:beforeAutospacing="0" w:after="0" w:afterAutospacing="0"/>
        <w:jc w:val="both"/>
        <w:rPr>
          <w:rFonts w:ascii="Arial" w:hAnsi="Arial" w:cs="Arial"/>
          <w:b/>
          <w:bCs/>
          <w:caps/>
          <w:color w:val="002F5D"/>
          <w:sz w:val="21"/>
          <w:szCs w:val="21"/>
        </w:rPr>
      </w:pPr>
    </w:p>
    <w:p w:rsidR="00EF2012" w:rsidRDefault="00EF2012" w:rsidP="004F19F5">
      <w:pPr>
        <w:pStyle w:val="NormalWeb"/>
        <w:spacing w:before="0" w:beforeAutospacing="0" w:after="0" w:afterAutospacing="0" w:line="360" w:lineRule="auto"/>
        <w:jc w:val="both"/>
        <w:rPr>
          <w:iCs/>
          <w:color w:val="1C1C1C"/>
        </w:rPr>
      </w:pPr>
      <w:r>
        <w:rPr>
          <w:iCs/>
          <w:color w:val="1C1C1C"/>
        </w:rPr>
        <w:t>S</w:t>
      </w:r>
      <w:r w:rsidRPr="00EF2012">
        <w:rPr>
          <w:iCs/>
          <w:color w:val="1C1C1C"/>
        </w:rPr>
        <w:t xml:space="preserve">uscripto entre el Estado Nacional y las Provincias firmantes el día 4/12/2020. </w:t>
      </w:r>
    </w:p>
    <w:p w:rsidR="00EF2012" w:rsidRDefault="00EF2012" w:rsidP="004F19F5">
      <w:pPr>
        <w:pStyle w:val="NormalWeb"/>
        <w:spacing w:before="0" w:beforeAutospacing="0" w:after="0" w:afterAutospacing="0" w:line="360" w:lineRule="auto"/>
        <w:jc w:val="both"/>
        <w:rPr>
          <w:iCs/>
          <w:color w:val="1C1C1C"/>
        </w:rPr>
      </w:pPr>
      <w:r w:rsidRPr="00EF2012">
        <w:rPr>
          <w:iCs/>
          <w:color w:val="1C1C1C"/>
        </w:rPr>
        <w:t xml:space="preserve">Destacamos entre los compromisos asumidos en materia tributaria por las provincias, los siguientes: </w:t>
      </w:r>
      <w:r w:rsidRPr="00EF2012">
        <w:rPr>
          <w:iCs/>
          <w:color w:val="1C1C1C"/>
        </w:rPr>
        <w:br/>
        <w:t xml:space="preserve">*Prorrogar hasta el 31 de diciembre de 2021 la suspensión de los compromisos asumidos en los incisos b), c), d), h), j), k), l), m) y s) de la Cláusula III del </w:t>
      </w:r>
      <w:hyperlink r:id="rId8" w:history="1">
        <w:r w:rsidRPr="00EF2012">
          <w:rPr>
            <w:iCs/>
            <w:color w:val="1C1C1C"/>
          </w:rPr>
          <w:t>Consenso Fiscal 2017</w:t>
        </w:r>
      </w:hyperlink>
      <w:r w:rsidRPr="00EF2012">
        <w:rPr>
          <w:iCs/>
          <w:color w:val="1C1C1C"/>
        </w:rPr>
        <w:t xml:space="preserve"> de fecha 16 de noviembre de 2017 </w:t>
      </w:r>
    </w:p>
    <w:p w:rsidR="00EF2012" w:rsidRDefault="00EF2012" w:rsidP="004F19F5">
      <w:pPr>
        <w:pStyle w:val="NormalWeb"/>
        <w:spacing w:before="0" w:beforeAutospacing="0" w:after="0" w:afterAutospacing="0" w:line="360" w:lineRule="auto"/>
        <w:jc w:val="both"/>
        <w:rPr>
          <w:iCs/>
          <w:color w:val="1C1C1C"/>
        </w:rPr>
      </w:pPr>
      <w:r w:rsidRPr="00EF2012">
        <w:rPr>
          <w:iCs/>
          <w:color w:val="1C1C1C"/>
        </w:rPr>
        <w:t>*Profundizar la adecuación del funcionamiento de los regímenes de retención, percepción y recaudación del impuesto sobre los ingresos brutos – Convenio Multilateral, de manera de respetar el límite territorial de la potestad tributaria de las jurisdicciones y evitar la generación de saldos inadecuados o permanentes a favor del contribuyente.</w:t>
      </w:r>
    </w:p>
    <w:p w:rsidR="004F19F5" w:rsidRPr="004F19F5" w:rsidRDefault="00EF2012" w:rsidP="004F19F5">
      <w:pPr>
        <w:pStyle w:val="NormalWeb"/>
        <w:spacing w:before="0" w:beforeAutospacing="0" w:after="0" w:afterAutospacing="0" w:line="360" w:lineRule="auto"/>
        <w:jc w:val="both"/>
        <w:rPr>
          <w:iCs/>
          <w:color w:val="1C1C1C"/>
        </w:rPr>
      </w:pPr>
      <w:r w:rsidRPr="00EF2012">
        <w:rPr>
          <w:iCs/>
          <w:color w:val="1C1C1C"/>
        </w:rPr>
        <w:t>*Aplicar mecanismos de devolución automática, compensación o transferencia de crédito del impuesto sobre los ingresos brutos, a aquellos contribuyentes que tengan saldos a favor del impuesto sobre los ingresos brutos generados por retenciones, percepciones y/o recaudaciones</w:t>
      </w:r>
    </w:p>
    <w:p w:rsidR="00FF0BB2" w:rsidRDefault="00FF0BB2" w:rsidP="00FF0BB2">
      <w:pPr>
        <w:pStyle w:val="NormalWeb"/>
        <w:spacing w:before="0" w:beforeAutospacing="0" w:after="0" w:afterAutospacing="0"/>
        <w:jc w:val="both"/>
        <w:rPr>
          <w:rFonts w:ascii="Arial" w:hAnsi="Arial" w:cs="Arial"/>
          <w:b/>
          <w:bCs/>
          <w:caps/>
          <w:color w:val="002F5D"/>
          <w:sz w:val="21"/>
          <w:szCs w:val="21"/>
        </w:rPr>
      </w:pPr>
    </w:p>
    <w:p w:rsidR="00EF2012" w:rsidRDefault="00EF2012" w:rsidP="00EF2012">
      <w:pPr>
        <w:pStyle w:val="NormalWeb"/>
        <w:spacing w:before="0" w:beforeAutospacing="0" w:after="0" w:afterAutospacing="0"/>
        <w:jc w:val="both"/>
        <w:rPr>
          <w:rFonts w:ascii="Arial" w:hAnsi="Arial" w:cs="Arial"/>
          <w:b/>
          <w:bCs/>
          <w:caps/>
          <w:color w:val="002F5D"/>
          <w:sz w:val="21"/>
          <w:szCs w:val="21"/>
        </w:rPr>
      </w:pPr>
      <w:r w:rsidRPr="00EF2012">
        <w:rPr>
          <w:rFonts w:ascii="Arial" w:hAnsi="Arial" w:cs="Arial"/>
          <w:b/>
          <w:bCs/>
          <w:caps/>
          <w:color w:val="002F5D"/>
          <w:sz w:val="21"/>
          <w:szCs w:val="21"/>
        </w:rPr>
        <w:t>Regímenes de información de participaciones societarias, y de Fideicomisos</w:t>
      </w:r>
    </w:p>
    <w:p w:rsidR="00EF2012" w:rsidRPr="00EF2012" w:rsidRDefault="00EF2012" w:rsidP="00EF2012">
      <w:pPr>
        <w:pStyle w:val="NormalWeb"/>
        <w:spacing w:before="0" w:beforeAutospacing="0" w:after="0" w:afterAutospacing="0"/>
        <w:jc w:val="both"/>
        <w:rPr>
          <w:rFonts w:ascii="Arial" w:hAnsi="Arial" w:cs="Arial"/>
          <w:b/>
          <w:bCs/>
          <w:caps/>
          <w:color w:val="002F5D"/>
          <w:sz w:val="21"/>
          <w:szCs w:val="21"/>
        </w:rPr>
      </w:pPr>
    </w:p>
    <w:p w:rsidR="00CF37E1" w:rsidRPr="00EF2012" w:rsidRDefault="00EF2012" w:rsidP="00EF2012">
      <w:pPr>
        <w:pStyle w:val="NormalWeb"/>
        <w:spacing w:before="0" w:beforeAutospacing="0" w:after="0" w:afterAutospacing="0" w:line="360" w:lineRule="auto"/>
        <w:jc w:val="both"/>
        <w:rPr>
          <w:iCs/>
          <w:color w:val="1C1C1C"/>
        </w:rPr>
      </w:pPr>
      <w:r w:rsidRPr="00EF2012">
        <w:rPr>
          <w:iCs/>
          <w:color w:val="1C1C1C"/>
        </w:rPr>
        <w:t>Se prorroga al 30 de diciembre de 2020, el plazo para cumplir con el Régimen de Información de Participaciones Societarias y de Rentas pasivas y el Régimen de Información anual 2019 de Fideicomisos constituidos en el país y en el exterior</w:t>
      </w:r>
    </w:p>
    <w:p w:rsidR="00FF0BB2" w:rsidRPr="00FF0BB2" w:rsidRDefault="00FF0BB2" w:rsidP="00FF0BB2">
      <w:pPr>
        <w:pStyle w:val="NormalWeb"/>
        <w:spacing w:before="0" w:beforeAutospacing="0" w:after="0" w:afterAutospacing="0"/>
        <w:rPr>
          <w:iCs/>
          <w:color w:val="1C1C1C"/>
        </w:rPr>
      </w:pPr>
    </w:p>
    <w:p w:rsidR="00E16F9C" w:rsidRDefault="00E16F9C" w:rsidP="00E16F9C">
      <w:pPr>
        <w:pStyle w:val="NormalWeb"/>
        <w:spacing w:before="0" w:beforeAutospacing="0" w:after="0" w:afterAutospacing="0"/>
        <w:jc w:val="center"/>
        <w:rPr>
          <w:rFonts w:ascii="Arial" w:hAnsi="Arial" w:cs="Arial"/>
          <w:b/>
          <w:bCs/>
          <w:caps/>
          <w:color w:val="7E4F6F"/>
          <w:sz w:val="28"/>
          <w:szCs w:val="28"/>
        </w:rPr>
      </w:pPr>
      <w:r w:rsidRPr="00E16F9C">
        <w:rPr>
          <w:rFonts w:ascii="Arial" w:hAnsi="Arial" w:cs="Arial"/>
          <w:b/>
          <w:bCs/>
          <w:caps/>
          <w:color w:val="7E4F6F"/>
          <w:sz w:val="28"/>
          <w:szCs w:val="28"/>
        </w:rPr>
        <w:t>LABORALES PREVISIONALES</w:t>
      </w:r>
    </w:p>
    <w:p w:rsidR="004A1B91" w:rsidRPr="00E16F9C" w:rsidRDefault="004A1B91" w:rsidP="00E16F9C">
      <w:pPr>
        <w:pStyle w:val="NormalWeb"/>
        <w:spacing w:before="0" w:beforeAutospacing="0" w:after="0" w:afterAutospacing="0"/>
        <w:jc w:val="center"/>
        <w:rPr>
          <w:rFonts w:ascii="Arial" w:hAnsi="Arial" w:cs="Arial"/>
          <w:b/>
          <w:bCs/>
          <w:caps/>
          <w:color w:val="7E4F6F"/>
          <w:sz w:val="28"/>
          <w:szCs w:val="28"/>
        </w:rPr>
      </w:pPr>
    </w:p>
    <w:p w:rsidR="00EF2012" w:rsidRDefault="00EF2012" w:rsidP="00EF2012">
      <w:pPr>
        <w:pStyle w:val="NormalWeb"/>
        <w:spacing w:before="0" w:beforeAutospacing="0" w:after="0" w:afterAutospacing="0"/>
        <w:jc w:val="both"/>
        <w:rPr>
          <w:rFonts w:ascii="Arial" w:hAnsi="Arial" w:cs="Arial"/>
          <w:b/>
          <w:bCs/>
          <w:caps/>
          <w:color w:val="666666"/>
          <w:sz w:val="18"/>
          <w:szCs w:val="18"/>
        </w:rPr>
      </w:pPr>
      <w:r w:rsidRPr="00EF2012">
        <w:rPr>
          <w:rFonts w:ascii="Arial" w:hAnsi="Arial" w:cs="Arial"/>
          <w:b/>
          <w:bCs/>
          <w:caps/>
          <w:color w:val="7E4F6F"/>
          <w:sz w:val="21"/>
          <w:szCs w:val="21"/>
        </w:rPr>
        <w:t>Empleados de comercio</w:t>
      </w:r>
    </w:p>
    <w:p w:rsidR="00EF2012" w:rsidRDefault="00EF2012" w:rsidP="00EF2012">
      <w:pPr>
        <w:jc w:val="center"/>
        <w:rPr>
          <w:rFonts w:ascii="Arial" w:eastAsia="Times New Roman" w:hAnsi="Arial" w:cs="Arial"/>
          <w:color w:val="666666"/>
          <w:sz w:val="17"/>
          <w:szCs w:val="17"/>
        </w:rPr>
      </w:pPr>
    </w:p>
    <w:p w:rsidR="00EF2012" w:rsidRDefault="00EF2012" w:rsidP="00EF2012">
      <w:pPr>
        <w:pStyle w:val="NormalWeb"/>
        <w:spacing w:before="0" w:beforeAutospacing="0" w:after="0" w:afterAutospacing="0"/>
        <w:jc w:val="both"/>
        <w:rPr>
          <w:rFonts w:ascii="Arial" w:hAnsi="Arial" w:cs="Arial"/>
          <w:b/>
          <w:bCs/>
          <w:color w:val="7E4F6F"/>
          <w:sz w:val="20"/>
          <w:szCs w:val="20"/>
        </w:rPr>
      </w:pPr>
      <w:r>
        <w:rPr>
          <w:rFonts w:ascii="Arial" w:hAnsi="Arial" w:cs="Arial"/>
          <w:b/>
          <w:bCs/>
          <w:color w:val="7E4F6F"/>
          <w:sz w:val="20"/>
          <w:szCs w:val="20"/>
        </w:rPr>
        <w:t>¿La asignación no remunerativa de $ 30.000 devenga SAC? Opinión de la FAECYS</w:t>
      </w:r>
    </w:p>
    <w:p w:rsidR="00EF2012" w:rsidRDefault="00EF2012" w:rsidP="00EF2012">
      <w:pPr>
        <w:spacing w:line="360" w:lineRule="auto"/>
        <w:jc w:val="both"/>
        <w:rPr>
          <w:iCs/>
          <w:color w:val="1C1C1C"/>
        </w:rPr>
      </w:pPr>
      <w:r w:rsidRPr="00EF2012">
        <w:rPr>
          <w:iCs/>
          <w:color w:val="1C1C1C"/>
        </w:rPr>
        <w:lastRenderedPageBreak/>
        <w:t xml:space="preserve">El acuerdo salarial, homologado por la </w:t>
      </w:r>
      <w:hyperlink r:id="rId9" w:history="1">
        <w:r w:rsidRPr="00EF2012">
          <w:rPr>
            <w:iCs/>
            <w:color w:val="1C1C1C"/>
          </w:rPr>
          <w:t>R. (ST) 1326/2020</w:t>
        </w:r>
      </w:hyperlink>
      <w:r w:rsidRPr="00EF2012">
        <w:rPr>
          <w:iCs/>
          <w:color w:val="1C1C1C"/>
        </w:rPr>
        <w:t>, no establece ninguna precisión sobre el cómputo para el SAC de la asignación no remunerativa de $ 30.000, que se abona en 6 cuotas mensuales y consecutivas de $ 5.000 cada una, junto con las remuneraciones de octubre, noviembre y diciembre de 2020, y de enero, febrero y marzo de 2021.</w:t>
      </w:r>
    </w:p>
    <w:p w:rsidR="00EF2012" w:rsidRDefault="00EF2012" w:rsidP="00EF2012">
      <w:pPr>
        <w:spacing w:line="360" w:lineRule="auto"/>
        <w:jc w:val="both"/>
        <w:rPr>
          <w:iCs/>
          <w:color w:val="1C1C1C"/>
        </w:rPr>
      </w:pPr>
      <w:r w:rsidRPr="00EF2012">
        <w:rPr>
          <w:iCs/>
          <w:color w:val="1C1C1C"/>
        </w:rPr>
        <w:t xml:space="preserve">Además, le otorga el carácter de “gratificación extraordinaria por única vez, no remunerativa y de naturaleza excepcional”, a diferencia de años anteriores donde el acuerdo si aclaraba específicamente su consideración para el SAC [ej., </w:t>
      </w:r>
      <w:hyperlink r:id="rId10" w:history="1">
        <w:r w:rsidRPr="00EF2012">
          <w:rPr>
            <w:iCs/>
            <w:color w:val="1C1C1C"/>
          </w:rPr>
          <w:t>R. (ST) 753/2020</w:t>
        </w:r>
      </w:hyperlink>
      <w:r w:rsidRPr="00EF2012">
        <w:rPr>
          <w:iCs/>
          <w:color w:val="1C1C1C"/>
        </w:rPr>
        <w:t>].</w:t>
      </w:r>
    </w:p>
    <w:p w:rsidR="00EF2012" w:rsidRPr="00EF2012" w:rsidRDefault="00EF2012" w:rsidP="00EF2012">
      <w:pPr>
        <w:spacing w:line="360" w:lineRule="auto"/>
        <w:jc w:val="both"/>
        <w:rPr>
          <w:iCs/>
          <w:color w:val="1C1C1C"/>
        </w:rPr>
      </w:pPr>
      <w:r w:rsidRPr="00EF2012">
        <w:rPr>
          <w:iCs/>
          <w:color w:val="1C1C1C"/>
        </w:rPr>
        <w:t xml:space="preserve">Sin embargo, es importante resaltar que la Secretaría de Asuntos Legales de la FAECYS comunica que sí se debe tener en cuenta para el cálculo, tanto del SAC como de vacaciones </w:t>
      </w:r>
    </w:p>
    <w:p w:rsidR="00EF2012" w:rsidRDefault="00EF2012" w:rsidP="00EF2012">
      <w:pPr>
        <w:pStyle w:val="NormalWeb"/>
        <w:spacing w:before="0" w:beforeAutospacing="0" w:after="0" w:afterAutospacing="0"/>
        <w:jc w:val="both"/>
        <w:rPr>
          <w:rFonts w:ascii="Arial" w:hAnsi="Arial" w:cs="Arial"/>
          <w:b/>
          <w:bCs/>
          <w:caps/>
          <w:color w:val="7E4F6F"/>
          <w:sz w:val="21"/>
          <w:szCs w:val="21"/>
        </w:rPr>
      </w:pPr>
    </w:p>
    <w:p w:rsidR="00EF2012" w:rsidRDefault="00EF2012" w:rsidP="00EF2012">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¿la asignación no remunerativa de $ 30.000 devenga SAC?</w:t>
      </w:r>
    </w:p>
    <w:p w:rsidR="00EF2012" w:rsidRDefault="00EF2012" w:rsidP="00EF2012">
      <w:pPr>
        <w:pStyle w:val="NormalWeb"/>
        <w:spacing w:before="0" w:beforeAutospacing="0" w:after="0" w:afterAutospacing="0"/>
        <w:jc w:val="both"/>
        <w:rPr>
          <w:rFonts w:ascii="Arial" w:hAnsi="Arial" w:cs="Arial"/>
          <w:b/>
          <w:bCs/>
          <w:caps/>
          <w:color w:val="7E4F6F"/>
          <w:sz w:val="21"/>
          <w:szCs w:val="21"/>
        </w:rPr>
      </w:pPr>
    </w:p>
    <w:tbl>
      <w:tblPr>
        <w:tblW w:w="5000" w:type="pct"/>
        <w:tblCellSpacing w:w="37" w:type="dxa"/>
        <w:tblCellMar>
          <w:left w:w="0" w:type="dxa"/>
          <w:right w:w="0" w:type="dxa"/>
        </w:tblCellMar>
        <w:tblLook w:val="04A0"/>
      </w:tblPr>
      <w:tblGrid>
        <w:gridCol w:w="8556"/>
        <w:gridCol w:w="381"/>
      </w:tblGrid>
      <w:tr w:rsidR="00EF2012" w:rsidTr="00A46582">
        <w:trPr>
          <w:tblCellSpacing w:w="37" w:type="dxa"/>
        </w:trPr>
        <w:tc>
          <w:tcPr>
            <w:tcW w:w="4845" w:type="pct"/>
            <w:hideMark/>
          </w:tcPr>
          <w:p w:rsidR="00EF2012" w:rsidRDefault="00EF2012" w:rsidP="00EF2012">
            <w:pPr>
              <w:spacing w:line="360" w:lineRule="auto"/>
              <w:jc w:val="both"/>
              <w:rPr>
                <w:iCs/>
                <w:color w:val="1C1C1C"/>
              </w:rPr>
            </w:pPr>
            <w:r w:rsidRPr="00EF2012">
              <w:rPr>
                <w:iCs/>
                <w:color w:val="1C1C1C"/>
              </w:rPr>
              <w:t xml:space="preserve">El acuerdo salarial, homologado por la </w:t>
            </w:r>
            <w:hyperlink r:id="rId11" w:history="1">
              <w:r w:rsidRPr="00EF2012">
                <w:rPr>
                  <w:iCs/>
                  <w:color w:val="1C1C1C"/>
                </w:rPr>
                <w:t>R. (ST) 1326/2020</w:t>
              </w:r>
            </w:hyperlink>
            <w:r w:rsidRPr="00EF2012">
              <w:rPr>
                <w:iCs/>
                <w:color w:val="1C1C1C"/>
              </w:rPr>
              <w:t>, no establece ninguna precisión sobre el cómputo para el SAC de la asignación no remunerativa de $ 30.000, que se abona en 6 cuotas mensuales y consecutivas de $ 5.000 cada una, pagaderas junto con las remuneraciones de los meses de octubre, noviembre y diciembre de 2020, y de enero, febrero y marzo de 2021.</w:t>
            </w:r>
          </w:p>
          <w:p w:rsidR="00EF2012" w:rsidRDefault="00EF2012" w:rsidP="00EF2012">
            <w:pPr>
              <w:spacing w:line="360" w:lineRule="auto"/>
              <w:jc w:val="both"/>
              <w:rPr>
                <w:rFonts w:ascii="Arial" w:eastAsia="Times New Roman" w:hAnsi="Arial" w:cs="Arial"/>
                <w:color w:val="666666"/>
                <w:sz w:val="20"/>
                <w:szCs w:val="20"/>
              </w:rPr>
            </w:pPr>
            <w:r w:rsidRPr="00EF2012">
              <w:rPr>
                <w:iCs/>
                <w:color w:val="1C1C1C"/>
              </w:rPr>
              <w:t xml:space="preserve">Además, le otorga el carácter de “gratificación extraordinaria por única vez, no remunerativa y de naturaleza excepcional”, a diferencia de años anteriores donde el acuerdo si aclaraba específicamente su consideración para el SAC [ej., </w:t>
            </w:r>
            <w:hyperlink r:id="rId12" w:history="1">
              <w:r w:rsidRPr="00EF2012">
                <w:rPr>
                  <w:iCs/>
                  <w:color w:val="1C1C1C"/>
                </w:rPr>
                <w:t>R. (ST) 753/2020</w:t>
              </w:r>
            </w:hyperlink>
            <w:r>
              <w:rPr>
                <w:rFonts w:ascii="Arial" w:eastAsia="Times New Roman" w:hAnsi="Arial" w:cs="Arial"/>
                <w:color w:val="666666"/>
                <w:sz w:val="20"/>
                <w:szCs w:val="20"/>
              </w:rPr>
              <w:t xml:space="preserve">]. </w:t>
            </w:r>
          </w:p>
        </w:tc>
        <w:tc>
          <w:tcPr>
            <w:tcW w:w="0" w:type="auto"/>
            <w:hideMark/>
          </w:tcPr>
          <w:p w:rsidR="00EF2012" w:rsidRDefault="00EF2012" w:rsidP="00A46582">
            <w:pPr>
              <w:jc w:val="both"/>
              <w:rPr>
                <w:rFonts w:ascii="Arial" w:eastAsia="Times New Roman" w:hAnsi="Arial" w:cs="Arial"/>
                <w:color w:val="666666"/>
                <w:sz w:val="20"/>
                <w:szCs w:val="20"/>
              </w:rPr>
            </w:pPr>
            <w:r>
              <w:rPr>
                <w:rFonts w:ascii="Arial" w:eastAsia="Times New Roman" w:hAnsi="Arial" w:cs="Arial"/>
                <w:color w:val="666666"/>
                <w:sz w:val="20"/>
                <w:szCs w:val="20"/>
              </w:rPr>
              <w:t xml:space="preserve">  </w:t>
            </w:r>
          </w:p>
        </w:tc>
      </w:tr>
    </w:tbl>
    <w:p w:rsidR="00EF2012" w:rsidRDefault="00EF2012" w:rsidP="00EF2012">
      <w:pPr>
        <w:pStyle w:val="NormalWeb"/>
        <w:spacing w:before="0" w:beforeAutospacing="0" w:after="0" w:afterAutospacing="0"/>
        <w:jc w:val="both"/>
        <w:rPr>
          <w:rFonts w:ascii="Arial" w:hAnsi="Arial" w:cs="Arial"/>
          <w:b/>
          <w:bCs/>
          <w:caps/>
          <w:color w:val="7E4F6F"/>
          <w:sz w:val="21"/>
          <w:szCs w:val="21"/>
        </w:rPr>
      </w:pPr>
    </w:p>
    <w:p w:rsidR="00EF2012" w:rsidRDefault="00EF2012" w:rsidP="00EF2012">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Pago de la 2° cuota del SAC</w:t>
      </w:r>
    </w:p>
    <w:p w:rsidR="00EF2012" w:rsidRDefault="00EF2012" w:rsidP="00EF2012">
      <w:pPr>
        <w:pStyle w:val="NormalWeb"/>
        <w:spacing w:before="0" w:beforeAutospacing="0" w:after="0" w:afterAutospacing="0"/>
        <w:jc w:val="both"/>
        <w:rPr>
          <w:rFonts w:ascii="Arial" w:hAnsi="Arial" w:cs="Arial"/>
          <w:b/>
          <w:bCs/>
          <w:caps/>
          <w:color w:val="7E4F6F"/>
          <w:sz w:val="21"/>
          <w:szCs w:val="21"/>
        </w:rPr>
      </w:pPr>
    </w:p>
    <w:p w:rsidR="00EF2012" w:rsidRDefault="00EF2012" w:rsidP="00EF2012">
      <w:pPr>
        <w:pStyle w:val="NormalWeb"/>
        <w:spacing w:before="0" w:beforeAutospacing="0" w:after="0" w:afterAutospacing="0" w:line="360" w:lineRule="auto"/>
        <w:jc w:val="both"/>
        <w:rPr>
          <w:iCs/>
          <w:color w:val="1C1C1C"/>
        </w:rPr>
      </w:pPr>
      <w:r w:rsidRPr="00EF2012">
        <w:rPr>
          <w:iCs/>
          <w:color w:val="1C1C1C"/>
        </w:rPr>
        <w:t xml:space="preserve">Recordamos que el próximo viernes 18 de diciembre vence el plazo para el pago de la segunda cuota del Sueldo Anual Complementario de diciembre 2020, conforme lo dispuesto por el </w:t>
      </w:r>
      <w:hyperlink r:id="rId13" w:history="1">
        <w:r w:rsidRPr="00EF2012">
          <w:rPr>
            <w:iCs/>
            <w:color w:val="1C1C1C"/>
          </w:rPr>
          <w:t xml:space="preserve">artículo 122 </w:t>
        </w:r>
      </w:hyperlink>
      <w:r w:rsidRPr="00EF2012">
        <w:rPr>
          <w:iCs/>
          <w:color w:val="1C1C1C"/>
        </w:rPr>
        <w:t>de la Ley de Contrato de Trabajo.</w:t>
      </w:r>
    </w:p>
    <w:p w:rsidR="00EF2012" w:rsidRDefault="00EF2012" w:rsidP="00EF2012">
      <w:pPr>
        <w:pStyle w:val="NormalWeb"/>
        <w:spacing w:before="0" w:beforeAutospacing="0" w:after="0" w:afterAutospacing="0" w:line="360" w:lineRule="auto"/>
        <w:jc w:val="both"/>
        <w:rPr>
          <w:iCs/>
          <w:color w:val="1C1C1C"/>
        </w:rPr>
      </w:pPr>
      <w:r w:rsidRPr="00EF2012">
        <w:rPr>
          <w:iCs/>
          <w:color w:val="1C1C1C"/>
        </w:rPr>
        <w:t xml:space="preserve">En el régimen del personal de casas particulares, se abona la última jornada laboral del mes de diciembre de cada año </w:t>
      </w:r>
      <w:hyperlink r:id="rId14" w:history="1">
        <w:r w:rsidRPr="00EF2012">
          <w:rPr>
            <w:iCs/>
            <w:color w:val="1C1C1C"/>
          </w:rPr>
          <w:t>(L. 26844)</w:t>
        </w:r>
      </w:hyperlink>
      <w:r w:rsidRPr="00EF2012">
        <w:rPr>
          <w:iCs/>
          <w:color w:val="1C1C1C"/>
        </w:rPr>
        <w:t>, aunque en el Congreso de la Nación tramita, con media sanción, el proyecto de ley que anticipa el pago antes del 19 de diciembre de cada año</w:t>
      </w:r>
      <w:r>
        <w:rPr>
          <w:iCs/>
          <w:color w:val="1C1C1C"/>
        </w:rPr>
        <w:t>.</w:t>
      </w:r>
    </w:p>
    <w:p w:rsidR="00EF2012" w:rsidRDefault="00EF2012" w:rsidP="00EF2012">
      <w:pPr>
        <w:pStyle w:val="NormalWeb"/>
        <w:spacing w:before="0" w:beforeAutospacing="0" w:after="0" w:afterAutospacing="0"/>
        <w:rPr>
          <w:rFonts w:ascii="Arial" w:hAnsi="Arial" w:cs="Arial"/>
          <w:b/>
          <w:bCs/>
          <w:caps/>
          <w:color w:val="666666"/>
          <w:sz w:val="18"/>
          <w:szCs w:val="18"/>
        </w:rPr>
      </w:pPr>
    </w:p>
    <w:p w:rsidR="00EF2012" w:rsidRDefault="00EF2012" w:rsidP="00EF2012">
      <w:pPr>
        <w:pStyle w:val="NormalWeb"/>
        <w:spacing w:before="0" w:beforeAutospacing="0" w:after="0" w:afterAutospacing="0"/>
        <w:rPr>
          <w:rFonts w:ascii="Arial" w:hAnsi="Arial" w:cs="Arial"/>
          <w:b/>
          <w:bCs/>
          <w:caps/>
          <w:color w:val="666666"/>
          <w:sz w:val="18"/>
          <w:szCs w:val="18"/>
        </w:rPr>
      </w:pPr>
    </w:p>
    <w:p w:rsidR="00EF2012" w:rsidRPr="00EF2012" w:rsidRDefault="00EF2012" w:rsidP="00EF2012">
      <w:pPr>
        <w:pStyle w:val="NormalWeb"/>
        <w:spacing w:before="0" w:beforeAutospacing="0" w:after="0" w:afterAutospacing="0"/>
        <w:rPr>
          <w:rFonts w:ascii="Arial" w:hAnsi="Arial" w:cs="Arial"/>
          <w:b/>
          <w:bCs/>
          <w:caps/>
          <w:color w:val="7E4F6F"/>
          <w:sz w:val="21"/>
          <w:szCs w:val="21"/>
        </w:rPr>
      </w:pPr>
      <w:r w:rsidRPr="00EF2012">
        <w:rPr>
          <w:rFonts w:ascii="Arial" w:hAnsi="Arial" w:cs="Arial"/>
          <w:b/>
          <w:bCs/>
          <w:caps/>
          <w:color w:val="7E4F6F"/>
          <w:sz w:val="21"/>
          <w:szCs w:val="21"/>
        </w:rPr>
        <w:lastRenderedPageBreak/>
        <w:t xml:space="preserve">Licencia ordinaria. </w:t>
      </w:r>
    </w:p>
    <w:p w:rsidR="00EF2012" w:rsidRDefault="00EF2012" w:rsidP="00EF2012">
      <w:pPr>
        <w:rPr>
          <w:rFonts w:ascii="Arial" w:eastAsia="Times New Roman" w:hAnsi="Arial" w:cs="Arial"/>
          <w:color w:val="666666"/>
          <w:sz w:val="17"/>
          <w:szCs w:val="17"/>
        </w:rPr>
      </w:pPr>
    </w:p>
    <w:p w:rsidR="00EF2012" w:rsidRDefault="00EF2012" w:rsidP="00EF2012">
      <w:pPr>
        <w:pStyle w:val="NormalWeb"/>
        <w:spacing w:before="0" w:beforeAutospacing="0" w:after="0" w:afterAutospacing="0"/>
        <w:rPr>
          <w:rFonts w:ascii="Arial" w:hAnsi="Arial" w:cs="Arial"/>
          <w:b/>
          <w:bCs/>
          <w:color w:val="7E4F6F"/>
          <w:sz w:val="20"/>
          <w:szCs w:val="20"/>
        </w:rPr>
      </w:pPr>
      <w:r>
        <w:rPr>
          <w:rFonts w:ascii="Arial" w:hAnsi="Arial" w:cs="Arial"/>
          <w:b/>
          <w:bCs/>
          <w:color w:val="7E4F6F"/>
          <w:sz w:val="20"/>
          <w:szCs w:val="20"/>
        </w:rPr>
        <w:t>La empresa que suspende sus actividades durante la semana que cae entre la navidad y fin de año ¿puede otorgar vacaciones? ¿</w:t>
      </w:r>
      <w:proofErr w:type="gramStart"/>
      <w:r>
        <w:rPr>
          <w:rFonts w:ascii="Arial" w:hAnsi="Arial" w:cs="Arial"/>
          <w:b/>
          <w:bCs/>
          <w:color w:val="7E4F6F"/>
          <w:sz w:val="20"/>
          <w:szCs w:val="20"/>
        </w:rPr>
        <w:t>qué</w:t>
      </w:r>
      <w:proofErr w:type="gramEnd"/>
      <w:r>
        <w:rPr>
          <w:rFonts w:ascii="Arial" w:hAnsi="Arial" w:cs="Arial"/>
          <w:b/>
          <w:bCs/>
          <w:color w:val="7E4F6F"/>
          <w:sz w:val="20"/>
          <w:szCs w:val="20"/>
        </w:rPr>
        <w:t xml:space="preserve"> sucede con los trabajadores mayores de 60 años, embarazadas y en grupo de riesgo?</w:t>
      </w:r>
    </w:p>
    <w:p w:rsidR="00EF2012" w:rsidRDefault="00EF2012" w:rsidP="00EF2012">
      <w:pPr>
        <w:pStyle w:val="NormalWeb"/>
        <w:spacing w:before="0" w:beforeAutospacing="0" w:after="0" w:afterAutospacing="0"/>
        <w:rPr>
          <w:rFonts w:ascii="Arial" w:hAnsi="Arial" w:cs="Arial"/>
          <w:b/>
          <w:bCs/>
          <w:color w:val="7E4F6F"/>
          <w:sz w:val="20"/>
          <w:szCs w:val="20"/>
        </w:rPr>
      </w:pPr>
    </w:p>
    <w:p w:rsidR="00EF2012" w:rsidRDefault="00EF2012" w:rsidP="00EF2012">
      <w:pPr>
        <w:pStyle w:val="NormalWeb"/>
        <w:spacing w:before="0" w:beforeAutospacing="0" w:after="0" w:afterAutospacing="0" w:line="360" w:lineRule="auto"/>
        <w:jc w:val="both"/>
        <w:rPr>
          <w:iCs/>
          <w:color w:val="1C1C1C"/>
        </w:rPr>
      </w:pPr>
      <w:r w:rsidRPr="00EF2012">
        <w:rPr>
          <w:iCs/>
          <w:color w:val="1C1C1C"/>
        </w:rPr>
        <w:t xml:space="preserve">El artículo 153 de la LCT señala que, en el caso de suspensión de las actividades normales del establecimiento por vacaciones por un período superior al tiempo de licencia que le corresponda al trabajador sin que éste sea ocupado por su empleador en otras tareas, se considerará que media una suspensión de hecho hasta que se reinicien las tareas habituales del establecimiento. </w:t>
      </w:r>
    </w:p>
    <w:p w:rsidR="002D2CB1" w:rsidRDefault="00EF2012" w:rsidP="00EF2012">
      <w:pPr>
        <w:pStyle w:val="NormalWeb"/>
        <w:spacing w:before="0" w:beforeAutospacing="0" w:after="0" w:afterAutospacing="0" w:line="360" w:lineRule="auto"/>
        <w:jc w:val="both"/>
        <w:rPr>
          <w:iCs/>
          <w:color w:val="1C1C1C"/>
        </w:rPr>
      </w:pPr>
      <w:r w:rsidRPr="00EF2012">
        <w:rPr>
          <w:iCs/>
          <w:color w:val="1C1C1C"/>
        </w:rPr>
        <w:t>La LCT no hace referencia a suspensión de actividades por plazos menores a la licencia ordinaria. En este sentido, se recuerda que legislación establece como principio general que el trabajador</w:t>
      </w:r>
      <w:r w:rsidR="002D2CB1">
        <w:rPr>
          <w:iCs/>
          <w:color w:val="1C1C1C"/>
        </w:rPr>
        <w:t xml:space="preserve"> </w:t>
      </w:r>
      <w:r w:rsidR="002D2CB1" w:rsidRPr="002D2CB1">
        <w:rPr>
          <w:iCs/>
          <w:color w:val="1C1C1C"/>
        </w:rPr>
        <w:t>deberá gozar de las vacaciones de manera completa y continua.</w:t>
      </w:r>
      <w:r w:rsidR="002D2CB1" w:rsidRPr="002D2CB1">
        <w:rPr>
          <w:iCs/>
          <w:color w:val="1C1C1C"/>
        </w:rPr>
        <w:br/>
        <w:t>El fraccionamiento de las vacaciones se admite excepcionalmente con las siguientes condiciones:</w:t>
      </w:r>
      <w:r w:rsidR="002D2CB1" w:rsidRPr="002D2CB1">
        <w:rPr>
          <w:iCs/>
          <w:color w:val="1C1C1C"/>
        </w:rPr>
        <w:br/>
        <w:t>- Debe mediar un acuerdo de partes.</w:t>
      </w:r>
    </w:p>
    <w:p w:rsidR="002D2CB1" w:rsidRDefault="002D2CB1" w:rsidP="00EF2012">
      <w:pPr>
        <w:pStyle w:val="NormalWeb"/>
        <w:spacing w:before="0" w:beforeAutospacing="0" w:after="0" w:afterAutospacing="0" w:line="360" w:lineRule="auto"/>
        <w:jc w:val="both"/>
        <w:rPr>
          <w:iCs/>
          <w:color w:val="1C1C1C"/>
        </w:rPr>
      </w:pPr>
      <w:r w:rsidRPr="002D2CB1">
        <w:rPr>
          <w:iCs/>
          <w:color w:val="1C1C1C"/>
        </w:rPr>
        <w:t xml:space="preserve">- El fraccionamiento debe limitarse a las dos terceras partes de las vacaciones. </w:t>
      </w:r>
    </w:p>
    <w:p w:rsidR="002D2CB1" w:rsidRDefault="002D2CB1" w:rsidP="00EF2012">
      <w:pPr>
        <w:pStyle w:val="NormalWeb"/>
        <w:spacing w:before="0" w:beforeAutospacing="0" w:after="0" w:afterAutospacing="0" w:line="360" w:lineRule="auto"/>
        <w:jc w:val="both"/>
        <w:rPr>
          <w:iCs/>
          <w:color w:val="1C1C1C"/>
        </w:rPr>
      </w:pPr>
      <w:r w:rsidRPr="002D2CB1">
        <w:rPr>
          <w:iCs/>
          <w:color w:val="1C1C1C"/>
        </w:rPr>
        <w:t>- Debe acumularse la tercera parte fraccionada al período inmediatamente subsiguiente (art. 164, LCT).</w:t>
      </w:r>
    </w:p>
    <w:p w:rsidR="002D2CB1" w:rsidRDefault="002D2CB1" w:rsidP="00EF2012">
      <w:pPr>
        <w:pStyle w:val="NormalWeb"/>
        <w:spacing w:before="0" w:beforeAutospacing="0" w:after="0" w:afterAutospacing="0" w:line="360" w:lineRule="auto"/>
        <w:jc w:val="both"/>
        <w:rPr>
          <w:iCs/>
          <w:color w:val="1C1C1C"/>
        </w:rPr>
      </w:pPr>
      <w:r w:rsidRPr="002D2CB1">
        <w:rPr>
          <w:iCs/>
          <w:color w:val="1C1C1C"/>
        </w:rPr>
        <w:t xml:space="preserve">Por otra parte, el empleador deberá notificar al trabajador la fecha en la que comienzan sus vacaciones con una antelación no menor de 45 días. </w:t>
      </w:r>
    </w:p>
    <w:p w:rsidR="00CF37E1" w:rsidRPr="00EF2012" w:rsidRDefault="00CF37E1" w:rsidP="00EF2012">
      <w:pPr>
        <w:pStyle w:val="NormalWeb"/>
        <w:spacing w:before="0" w:beforeAutospacing="0" w:after="0" w:afterAutospacing="0"/>
        <w:jc w:val="both"/>
        <w:rPr>
          <w:rFonts w:ascii="Calibri" w:hAnsi="Calibri" w:cs="Calibri"/>
          <w:color w:val="000000"/>
          <w:sz w:val="22"/>
          <w:szCs w:val="22"/>
          <w:lang w:eastAsia="en-US"/>
        </w:rPr>
      </w:pPr>
    </w:p>
    <w:p w:rsidR="00A70E13" w:rsidRDefault="00A70E13" w:rsidP="003A4F45">
      <w:pPr>
        <w:pStyle w:val="NormalWeb"/>
        <w:shd w:val="clear" w:color="auto" w:fill="FDE9D9" w:themeFill="accent6" w:themeFillTint="33"/>
        <w:spacing w:before="0" w:beforeAutospacing="0" w:after="0" w:afterAutospacing="0" w:line="360" w:lineRule="auto"/>
        <w:jc w:val="center"/>
        <w:rPr>
          <w:rFonts w:ascii="Arial" w:eastAsia="Times New Roman" w:hAnsi="Arial" w:cs="Arial"/>
          <w:color w:val="666666"/>
          <w:sz w:val="20"/>
          <w:szCs w:val="20"/>
        </w:rPr>
      </w:pPr>
    </w:p>
    <w:p w:rsidR="003A4F45" w:rsidRPr="003A4F45" w:rsidRDefault="003A4F45" w:rsidP="003A4F45">
      <w:pPr>
        <w:pStyle w:val="NormalWeb"/>
        <w:shd w:val="clear" w:color="auto" w:fill="FDE9D9" w:themeFill="accent6" w:themeFillTint="33"/>
        <w:spacing w:before="0" w:beforeAutospacing="0" w:after="0" w:afterAutospacing="0" w:line="360" w:lineRule="auto"/>
        <w:jc w:val="center"/>
        <w:rPr>
          <w:sz w:val="28"/>
          <w:szCs w:val="28"/>
        </w:rPr>
      </w:pPr>
      <w:r w:rsidRPr="003A4F45">
        <w:rPr>
          <w:rFonts w:ascii="Arial" w:hAnsi="Arial" w:cs="Arial"/>
          <w:b/>
          <w:bCs/>
          <w:caps/>
          <w:color w:val="7F870A"/>
          <w:sz w:val="28"/>
          <w:szCs w:val="28"/>
        </w:rPr>
        <w:t>SOCIETARIAS</w:t>
      </w:r>
    </w:p>
    <w:p w:rsidR="00EF2012" w:rsidRDefault="00EF2012" w:rsidP="00EF2012">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 xml:space="preserve">Censo Nacional Económico: el BCRA exigirá el certificado de cumplimiento censal </w:t>
      </w:r>
    </w:p>
    <w:p w:rsidR="00EF2012" w:rsidRDefault="00EF2012" w:rsidP="00EF2012">
      <w:pPr>
        <w:pStyle w:val="NormalWeb"/>
        <w:spacing w:before="0" w:beforeAutospacing="0" w:after="0" w:afterAutospacing="0"/>
        <w:jc w:val="both"/>
        <w:rPr>
          <w:rFonts w:ascii="Arial" w:hAnsi="Arial" w:cs="Arial"/>
          <w:b/>
          <w:bCs/>
          <w:caps/>
          <w:color w:val="7F870A"/>
          <w:sz w:val="21"/>
          <w:szCs w:val="21"/>
        </w:rPr>
      </w:pPr>
    </w:p>
    <w:p w:rsidR="00EF2012" w:rsidRDefault="00EF2012" w:rsidP="00EF2012">
      <w:pPr>
        <w:pStyle w:val="NormalWeb"/>
        <w:spacing w:before="0" w:beforeAutospacing="0" w:after="0" w:afterAutospacing="0" w:line="360" w:lineRule="auto"/>
        <w:jc w:val="both"/>
        <w:rPr>
          <w:iCs/>
          <w:color w:val="1C1C1C"/>
        </w:rPr>
      </w:pPr>
      <w:r w:rsidRPr="00EF2012">
        <w:rPr>
          <w:iCs/>
          <w:color w:val="1C1C1C"/>
        </w:rPr>
        <w:t xml:space="preserve">El Banco Central, mediante la Comunicación B 12100 dispone que las entidades bancarias </w:t>
      </w:r>
      <w:proofErr w:type="gramStart"/>
      <w:r w:rsidRPr="00EF2012">
        <w:rPr>
          <w:iCs/>
          <w:color w:val="1C1C1C"/>
        </w:rPr>
        <w:t>deberán</w:t>
      </w:r>
      <w:proofErr w:type="gramEnd"/>
      <w:r w:rsidRPr="00EF2012">
        <w:rPr>
          <w:iCs/>
          <w:color w:val="1C1C1C"/>
        </w:rPr>
        <w:t xml:space="preserve"> solicitar el “Certificado de Cumplimiento Censal” que acredite el cumplimiento de la declaración censal prevista por el Censo Nacional Económico como requisito previo para dar curso a las siguientes operaciones: </w:t>
      </w:r>
    </w:p>
    <w:p w:rsidR="00EF2012" w:rsidRDefault="00EF2012" w:rsidP="00EF2012">
      <w:pPr>
        <w:pStyle w:val="NormalWeb"/>
        <w:spacing w:before="0" w:beforeAutospacing="0" w:after="0" w:afterAutospacing="0" w:line="360" w:lineRule="auto"/>
        <w:jc w:val="both"/>
        <w:rPr>
          <w:iCs/>
          <w:color w:val="1C1C1C"/>
        </w:rPr>
      </w:pPr>
      <w:r w:rsidRPr="00EF2012">
        <w:rPr>
          <w:iCs/>
          <w:color w:val="1C1C1C"/>
        </w:rPr>
        <w:t xml:space="preserve">- Apertura de cuentas de depósitos y de cualquier otra que implique captación de fondos </w:t>
      </w:r>
    </w:p>
    <w:p w:rsidR="00EF2012" w:rsidRDefault="00EF2012" w:rsidP="00EF2012">
      <w:pPr>
        <w:pStyle w:val="NormalWeb"/>
        <w:spacing w:before="0" w:beforeAutospacing="0" w:after="0" w:afterAutospacing="0" w:line="360" w:lineRule="auto"/>
        <w:jc w:val="both"/>
        <w:rPr>
          <w:iCs/>
          <w:color w:val="1C1C1C"/>
        </w:rPr>
      </w:pPr>
      <w:r w:rsidRPr="00EF2012">
        <w:rPr>
          <w:iCs/>
          <w:color w:val="1C1C1C"/>
        </w:rPr>
        <w:t xml:space="preserve">- Otorgamiento de créditos y renovaciones, apertura de créditos documentarios </w:t>
      </w:r>
    </w:p>
    <w:p w:rsidR="00EF2012" w:rsidRDefault="00EF2012" w:rsidP="00EF2012">
      <w:pPr>
        <w:pStyle w:val="NormalWeb"/>
        <w:spacing w:before="0" w:beforeAutospacing="0" w:after="0" w:afterAutospacing="0" w:line="360" w:lineRule="auto"/>
        <w:jc w:val="both"/>
        <w:rPr>
          <w:iCs/>
          <w:color w:val="1C1C1C"/>
        </w:rPr>
      </w:pPr>
      <w:r w:rsidRPr="00EF2012">
        <w:rPr>
          <w:iCs/>
          <w:color w:val="1C1C1C"/>
        </w:rPr>
        <w:t>- Apertura de cuentas para valores en custodia</w:t>
      </w:r>
    </w:p>
    <w:p w:rsidR="00EF2012" w:rsidRDefault="00EF2012" w:rsidP="00EF2012">
      <w:pPr>
        <w:pStyle w:val="NormalWeb"/>
        <w:spacing w:before="0" w:beforeAutospacing="0" w:after="0" w:afterAutospacing="0" w:line="360" w:lineRule="auto"/>
        <w:jc w:val="both"/>
        <w:rPr>
          <w:iCs/>
          <w:color w:val="1C1C1C"/>
        </w:rPr>
      </w:pPr>
      <w:r w:rsidRPr="00EF2012">
        <w:rPr>
          <w:iCs/>
          <w:color w:val="1C1C1C"/>
        </w:rPr>
        <w:lastRenderedPageBreak/>
        <w:t>- Otorgamiento de fianzas y préstamos de valores</w:t>
      </w:r>
    </w:p>
    <w:p w:rsidR="00EF2012" w:rsidRDefault="00EF2012" w:rsidP="00EF2012">
      <w:pPr>
        <w:pStyle w:val="NormalWeb"/>
        <w:spacing w:before="0" w:beforeAutospacing="0" w:after="0" w:afterAutospacing="0" w:line="360" w:lineRule="auto"/>
        <w:jc w:val="both"/>
        <w:rPr>
          <w:iCs/>
          <w:color w:val="1C1C1C"/>
        </w:rPr>
      </w:pPr>
      <w:r w:rsidRPr="00EF2012">
        <w:rPr>
          <w:iCs/>
          <w:color w:val="1C1C1C"/>
        </w:rPr>
        <w:t xml:space="preserve">- Alquiler de cajas de seguridad </w:t>
      </w:r>
    </w:p>
    <w:p w:rsidR="00EF2012" w:rsidRDefault="00EF2012" w:rsidP="00EF2012">
      <w:pPr>
        <w:pStyle w:val="NormalWeb"/>
        <w:spacing w:before="0" w:beforeAutospacing="0" w:after="0" w:afterAutospacing="0" w:line="360" w:lineRule="auto"/>
        <w:jc w:val="both"/>
        <w:rPr>
          <w:iCs/>
          <w:color w:val="1C1C1C"/>
        </w:rPr>
      </w:pPr>
      <w:r w:rsidRPr="00EF2012">
        <w:rPr>
          <w:iCs/>
          <w:color w:val="1C1C1C"/>
        </w:rPr>
        <w:t>El mismo será exigible para personas jurídicas a partir del 1 de abril de 2021, para autónomos a partir del 1 de mayo de 2021 y para monotributistas, a partir del 1 de julio de 2021. En todos los casos el mismo se exigirá hasta el 28 de febrero de 2022.</w:t>
      </w:r>
    </w:p>
    <w:p w:rsidR="00071740" w:rsidRDefault="00EF2012" w:rsidP="00EF2012">
      <w:pPr>
        <w:pStyle w:val="NormalWeb"/>
        <w:spacing w:before="0" w:beforeAutospacing="0" w:after="0" w:afterAutospacing="0" w:line="360" w:lineRule="auto"/>
        <w:jc w:val="both"/>
        <w:rPr>
          <w:iCs/>
          <w:color w:val="1C1C1C"/>
        </w:rPr>
      </w:pPr>
      <w:r w:rsidRPr="00EF2012">
        <w:rPr>
          <w:iCs/>
          <w:color w:val="1C1C1C"/>
        </w:rPr>
        <w:t xml:space="preserve">Como respaldo al CCC, el INDEC brindará un “web </w:t>
      </w:r>
      <w:proofErr w:type="spellStart"/>
      <w:r w:rsidRPr="00EF2012">
        <w:rPr>
          <w:iCs/>
          <w:color w:val="1C1C1C"/>
        </w:rPr>
        <w:t>service</w:t>
      </w:r>
      <w:proofErr w:type="spellEnd"/>
      <w:r w:rsidRPr="00EF2012">
        <w:rPr>
          <w:iCs/>
          <w:color w:val="1C1C1C"/>
        </w:rPr>
        <w:t>” que permitirá consultar el listado de todas aquellas personas jurídicas y humanas que hayan completado el CNE</w:t>
      </w:r>
      <w:r>
        <w:rPr>
          <w:iCs/>
          <w:color w:val="1C1C1C"/>
        </w:rPr>
        <w:t>.</w:t>
      </w:r>
    </w:p>
    <w:p w:rsidR="00EF2012" w:rsidRDefault="00EF2012" w:rsidP="00EF2012">
      <w:pPr>
        <w:pStyle w:val="NormalWeb"/>
        <w:spacing w:before="0" w:beforeAutospacing="0" w:after="0" w:afterAutospacing="0" w:line="360" w:lineRule="auto"/>
        <w:jc w:val="both"/>
        <w:rPr>
          <w:iCs/>
          <w:color w:val="1C1C1C"/>
        </w:rPr>
      </w:pPr>
    </w:p>
    <w:p w:rsidR="00EF2012" w:rsidRDefault="00EF2012" w:rsidP="00EF2012">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JURISPRUDENCIA</w:t>
      </w:r>
    </w:p>
    <w:p w:rsidR="00EF2012" w:rsidRDefault="00EF2012" w:rsidP="00EF2012">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rPr>
      </w:pPr>
    </w:p>
    <w:p w:rsidR="00EF2012" w:rsidRDefault="00EF2012" w:rsidP="00EF2012">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CONTRATO. COMPRAVENTA DE INMUEBLE EN DÓLARES. TASA DE INTERÉS. DOCTRINA LEGAL</w:t>
      </w:r>
    </w:p>
    <w:p w:rsidR="00EF2012" w:rsidRDefault="00EF2012" w:rsidP="00EF2012">
      <w:pPr>
        <w:pStyle w:val="NormalWeb"/>
        <w:spacing w:before="0" w:beforeAutospacing="0" w:after="0" w:afterAutospacing="0" w:line="360" w:lineRule="auto"/>
        <w:jc w:val="both"/>
        <w:rPr>
          <w:iCs/>
          <w:color w:val="1C1C1C"/>
        </w:rPr>
      </w:pPr>
    </w:p>
    <w:p w:rsidR="00EF2012" w:rsidRDefault="00EF2012" w:rsidP="00EF2012">
      <w:pPr>
        <w:pStyle w:val="NormalWeb"/>
        <w:spacing w:before="0" w:beforeAutospacing="0" w:after="0" w:afterAutospacing="0" w:line="360" w:lineRule="auto"/>
        <w:jc w:val="both"/>
        <w:rPr>
          <w:iCs/>
          <w:color w:val="1C1C1C"/>
        </w:rPr>
      </w:pPr>
      <w:r w:rsidRPr="00EF2012">
        <w:rPr>
          <w:iCs/>
          <w:color w:val="1C1C1C"/>
        </w:rPr>
        <w:t>Se confirma la sentencia que estableció que a las sumas debidas por la actora en dólares estadounidenses en concepto de restitución de lo abonado oportunamente con motivo de una compraventa inmobiliaria debía adicionarse la tasa pasiva más alta del Banco de la Provincia de Buenos Aires en sus depósitos a treinta días de la mencionada divisa.</w:t>
      </w:r>
    </w:p>
    <w:p w:rsidR="00EF2012" w:rsidRDefault="00EF2012" w:rsidP="00EF2012">
      <w:pPr>
        <w:pStyle w:val="NormalWeb"/>
        <w:spacing w:before="0" w:beforeAutospacing="0" w:after="0" w:afterAutospacing="0" w:line="360" w:lineRule="auto"/>
        <w:jc w:val="both"/>
        <w:rPr>
          <w:iCs/>
          <w:color w:val="1C1C1C"/>
        </w:rPr>
      </w:pPr>
      <w:r w:rsidRPr="00EF2012">
        <w:rPr>
          <w:iCs/>
          <w:color w:val="1C1C1C"/>
        </w:rPr>
        <w:t xml:space="preserve">Ello por cuanto el hecho de que la presente controversia encontraba su ámbito de subsunción en las normas establecidas en el anterior Código Civil conducía a la aplicación de la doctrina legal diseñada en derredor del referido artículo 622. Además, se aclaró que el punto del agravio en discusión giraba en torno a los intereses debidos como consecuencia de un acto jurídico frustrado; un rubro que participaba de una condición diferente del abordado en el caso "De Almeida", además de ser diversa en cuanto al modo de fijarse. </w:t>
      </w:r>
    </w:p>
    <w:p w:rsidR="00EF2012" w:rsidRPr="00EF2012" w:rsidRDefault="00EF2012" w:rsidP="00EF2012">
      <w:pPr>
        <w:pStyle w:val="NormalWeb"/>
        <w:spacing w:before="0" w:beforeAutospacing="0" w:after="0" w:afterAutospacing="0" w:line="360" w:lineRule="auto"/>
        <w:jc w:val="both"/>
        <w:rPr>
          <w:iCs/>
          <w:color w:val="1C1C1C"/>
          <w:sz w:val="16"/>
          <w:szCs w:val="16"/>
        </w:rPr>
      </w:pPr>
      <w:r w:rsidRPr="00EF2012">
        <w:rPr>
          <w:iCs/>
          <w:color w:val="1C1C1C"/>
          <w:sz w:val="16"/>
          <w:szCs w:val="16"/>
        </w:rPr>
        <w:t>PANETTIERI, ESTEFANÍA C/COSENTINO, MARÍA CONCEPCIÓN Y OTRO S/CUMPLIMIENTO DE CONTRATO - SUP. CORTE JUST. BS. AS. - 02/11/2020</w:t>
      </w:r>
    </w:p>
    <w:sectPr w:rsidR="00EF2012" w:rsidRPr="00EF2012" w:rsidSect="002A1585">
      <w:headerReference w:type="default" r:id="rId15"/>
      <w:footerReference w:type="default" r:id="rId16"/>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3EF" w:rsidRDefault="005E73EF" w:rsidP="00A22916">
      <w:r>
        <w:separator/>
      </w:r>
    </w:p>
  </w:endnote>
  <w:endnote w:type="continuationSeparator" w:id="0">
    <w:p w:rsidR="005E73EF" w:rsidRDefault="005E73EF" w:rsidP="00A2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BB2" w:rsidRDefault="00FF0BB2"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2D2CB1" w:rsidRPr="002D2CB1">
        <w:rPr>
          <w:rFonts w:asciiTheme="majorHAnsi" w:hAnsiTheme="majorHAnsi"/>
          <w:noProof/>
        </w:rPr>
        <w:t>2</w:t>
      </w:r>
    </w:fldSimple>
  </w:p>
  <w:p w:rsidR="00FF0BB2" w:rsidRDefault="00FF0BB2" w:rsidP="0063669F">
    <w:pPr>
      <w:pStyle w:val="Piedepgina"/>
    </w:pPr>
  </w:p>
  <w:p w:rsidR="00FF0BB2" w:rsidRDefault="00FF0BB2" w:rsidP="0063669F">
    <w:pPr>
      <w:pStyle w:val="Piedepgina"/>
    </w:pPr>
  </w:p>
  <w:p w:rsidR="00FF0BB2" w:rsidRDefault="00FF0BB2"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3EF" w:rsidRDefault="005E73EF" w:rsidP="00A22916">
      <w:r>
        <w:separator/>
      </w:r>
    </w:p>
  </w:footnote>
  <w:footnote w:type="continuationSeparator" w:id="0">
    <w:p w:rsidR="005E73EF" w:rsidRDefault="005E73EF"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BB2" w:rsidRDefault="00FF0BB2"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 xml:space="preserve">NEWSLETTER Nº </w:t>
    </w:r>
    <w:r w:rsidR="00EF2012">
      <w:rPr>
        <w:b/>
        <w:sz w:val="40"/>
        <w:szCs w:val="40"/>
      </w:rPr>
      <w:t>50</w:t>
    </w:r>
    <w:r>
      <w:rPr>
        <w:b/>
        <w:sz w:val="40"/>
        <w:szCs w:val="40"/>
      </w:rPr>
      <w:t>-20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C1F232"/>
    <w:multiLevelType w:val="hybridMultilevel"/>
    <w:tmpl w:val="1027C3F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F60AA"/>
    <w:multiLevelType w:val="hybridMultilevel"/>
    <w:tmpl w:val="65D617C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A4520C5"/>
    <w:multiLevelType w:val="hybridMultilevel"/>
    <w:tmpl w:val="B6046F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A7B983E"/>
    <w:multiLevelType w:val="hybridMultilevel"/>
    <w:tmpl w:val="37470D8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E540AB8"/>
    <w:multiLevelType w:val="hybridMultilevel"/>
    <w:tmpl w:val="0F06B40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EB92897"/>
    <w:multiLevelType w:val="hybridMultilevel"/>
    <w:tmpl w:val="A3CEB5C2"/>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abstractNum w:abstractNumId="6">
    <w:nsid w:val="390951A4"/>
    <w:multiLevelType w:val="hybridMultilevel"/>
    <w:tmpl w:val="525ADAD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59B6EE39"/>
    <w:multiLevelType w:val="hybridMultilevel"/>
    <w:tmpl w:val="549D063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7"/>
  </w:num>
  <w:num w:numId="8">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740"/>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46DA"/>
    <w:rsid w:val="000D70E0"/>
    <w:rsid w:val="000D70E8"/>
    <w:rsid w:val="000D7327"/>
    <w:rsid w:val="000D7F8F"/>
    <w:rsid w:val="000E0356"/>
    <w:rsid w:val="000E2CCF"/>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6FCB"/>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360"/>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4FAF"/>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55DD"/>
    <w:rsid w:val="00207A71"/>
    <w:rsid w:val="00207B67"/>
    <w:rsid w:val="00207C60"/>
    <w:rsid w:val="0021050C"/>
    <w:rsid w:val="00211589"/>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49A"/>
    <w:rsid w:val="00233626"/>
    <w:rsid w:val="00233E5D"/>
    <w:rsid w:val="00234178"/>
    <w:rsid w:val="002350C4"/>
    <w:rsid w:val="00236C10"/>
    <w:rsid w:val="00242334"/>
    <w:rsid w:val="00245419"/>
    <w:rsid w:val="002462C5"/>
    <w:rsid w:val="00250552"/>
    <w:rsid w:val="002514CE"/>
    <w:rsid w:val="00251B56"/>
    <w:rsid w:val="002551A7"/>
    <w:rsid w:val="00255665"/>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3CD3"/>
    <w:rsid w:val="002A6A09"/>
    <w:rsid w:val="002A7F6A"/>
    <w:rsid w:val="002B06F2"/>
    <w:rsid w:val="002B09F0"/>
    <w:rsid w:val="002B1B93"/>
    <w:rsid w:val="002B1FF7"/>
    <w:rsid w:val="002B2A40"/>
    <w:rsid w:val="002B3E46"/>
    <w:rsid w:val="002B42D6"/>
    <w:rsid w:val="002B5F87"/>
    <w:rsid w:val="002B6F3F"/>
    <w:rsid w:val="002B7C96"/>
    <w:rsid w:val="002C01BA"/>
    <w:rsid w:val="002C0AA7"/>
    <w:rsid w:val="002C2500"/>
    <w:rsid w:val="002C3ED4"/>
    <w:rsid w:val="002C5F80"/>
    <w:rsid w:val="002D15E2"/>
    <w:rsid w:val="002D1AF7"/>
    <w:rsid w:val="002D22D0"/>
    <w:rsid w:val="002D2CB1"/>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43DAB"/>
    <w:rsid w:val="00346BBA"/>
    <w:rsid w:val="00351287"/>
    <w:rsid w:val="00354827"/>
    <w:rsid w:val="00354D8B"/>
    <w:rsid w:val="00356793"/>
    <w:rsid w:val="00356AE3"/>
    <w:rsid w:val="00356E00"/>
    <w:rsid w:val="00363D85"/>
    <w:rsid w:val="0036625E"/>
    <w:rsid w:val="00366324"/>
    <w:rsid w:val="003669E8"/>
    <w:rsid w:val="0037064F"/>
    <w:rsid w:val="003707E2"/>
    <w:rsid w:val="00371368"/>
    <w:rsid w:val="00373FA9"/>
    <w:rsid w:val="00383AD6"/>
    <w:rsid w:val="00383E0A"/>
    <w:rsid w:val="00384312"/>
    <w:rsid w:val="00384AD2"/>
    <w:rsid w:val="00386E80"/>
    <w:rsid w:val="00387F1F"/>
    <w:rsid w:val="003A0047"/>
    <w:rsid w:val="003A1FE2"/>
    <w:rsid w:val="003A2813"/>
    <w:rsid w:val="003A4228"/>
    <w:rsid w:val="003A4F45"/>
    <w:rsid w:val="003A570E"/>
    <w:rsid w:val="003A7B3C"/>
    <w:rsid w:val="003B0D3B"/>
    <w:rsid w:val="003B2804"/>
    <w:rsid w:val="003B293E"/>
    <w:rsid w:val="003B3D0A"/>
    <w:rsid w:val="003B674E"/>
    <w:rsid w:val="003B6E5D"/>
    <w:rsid w:val="003B7810"/>
    <w:rsid w:val="003C0DB9"/>
    <w:rsid w:val="003C3199"/>
    <w:rsid w:val="003C6ACF"/>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1B91"/>
    <w:rsid w:val="004A35A9"/>
    <w:rsid w:val="004A3EB9"/>
    <w:rsid w:val="004A4833"/>
    <w:rsid w:val="004A6946"/>
    <w:rsid w:val="004A6EF0"/>
    <w:rsid w:val="004B103F"/>
    <w:rsid w:val="004B35EC"/>
    <w:rsid w:val="004B38FD"/>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19F5"/>
    <w:rsid w:val="004F24B7"/>
    <w:rsid w:val="004F673E"/>
    <w:rsid w:val="004F68B5"/>
    <w:rsid w:val="00505401"/>
    <w:rsid w:val="00505DE1"/>
    <w:rsid w:val="00506B0D"/>
    <w:rsid w:val="0050716A"/>
    <w:rsid w:val="005072B1"/>
    <w:rsid w:val="00507AE8"/>
    <w:rsid w:val="00511851"/>
    <w:rsid w:val="0051246E"/>
    <w:rsid w:val="0051490D"/>
    <w:rsid w:val="00516358"/>
    <w:rsid w:val="00521353"/>
    <w:rsid w:val="00521477"/>
    <w:rsid w:val="00525B08"/>
    <w:rsid w:val="00533CC1"/>
    <w:rsid w:val="00533E65"/>
    <w:rsid w:val="005364FD"/>
    <w:rsid w:val="0054032C"/>
    <w:rsid w:val="005424B1"/>
    <w:rsid w:val="00545CEE"/>
    <w:rsid w:val="005463F4"/>
    <w:rsid w:val="005475F9"/>
    <w:rsid w:val="00550055"/>
    <w:rsid w:val="005516F1"/>
    <w:rsid w:val="00551A1F"/>
    <w:rsid w:val="00552363"/>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01A6"/>
    <w:rsid w:val="00592257"/>
    <w:rsid w:val="00593D64"/>
    <w:rsid w:val="00596447"/>
    <w:rsid w:val="005968B3"/>
    <w:rsid w:val="00597816"/>
    <w:rsid w:val="005A16D0"/>
    <w:rsid w:val="005A1951"/>
    <w:rsid w:val="005A299B"/>
    <w:rsid w:val="005A3556"/>
    <w:rsid w:val="005A5A73"/>
    <w:rsid w:val="005A78B7"/>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E73EF"/>
    <w:rsid w:val="005F0207"/>
    <w:rsid w:val="005F022C"/>
    <w:rsid w:val="005F082E"/>
    <w:rsid w:val="005F3248"/>
    <w:rsid w:val="005F3E45"/>
    <w:rsid w:val="005F5E8E"/>
    <w:rsid w:val="005F7C03"/>
    <w:rsid w:val="0060159C"/>
    <w:rsid w:val="00604168"/>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460E9"/>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2E45"/>
    <w:rsid w:val="00683361"/>
    <w:rsid w:val="00686E13"/>
    <w:rsid w:val="00687155"/>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1A6"/>
    <w:rsid w:val="006C0A51"/>
    <w:rsid w:val="006C180A"/>
    <w:rsid w:val="006C1EFB"/>
    <w:rsid w:val="006C2D8A"/>
    <w:rsid w:val="006C306C"/>
    <w:rsid w:val="006C4725"/>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4874"/>
    <w:rsid w:val="007153F8"/>
    <w:rsid w:val="00715F5C"/>
    <w:rsid w:val="00721F67"/>
    <w:rsid w:val="00721F8E"/>
    <w:rsid w:val="0072282B"/>
    <w:rsid w:val="00722D45"/>
    <w:rsid w:val="007275EE"/>
    <w:rsid w:val="0073324B"/>
    <w:rsid w:val="00734D09"/>
    <w:rsid w:val="00736B72"/>
    <w:rsid w:val="00740009"/>
    <w:rsid w:val="0074014A"/>
    <w:rsid w:val="00740D85"/>
    <w:rsid w:val="00742655"/>
    <w:rsid w:val="00742FF7"/>
    <w:rsid w:val="00744838"/>
    <w:rsid w:val="00745098"/>
    <w:rsid w:val="0074517C"/>
    <w:rsid w:val="007459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4453"/>
    <w:rsid w:val="00795535"/>
    <w:rsid w:val="00796D04"/>
    <w:rsid w:val="00797DB5"/>
    <w:rsid w:val="007A031D"/>
    <w:rsid w:val="007A16AD"/>
    <w:rsid w:val="007A195E"/>
    <w:rsid w:val="007A66F7"/>
    <w:rsid w:val="007A6B66"/>
    <w:rsid w:val="007A724F"/>
    <w:rsid w:val="007A7C83"/>
    <w:rsid w:val="007B0F15"/>
    <w:rsid w:val="007B0F4E"/>
    <w:rsid w:val="007B202C"/>
    <w:rsid w:val="007B22C9"/>
    <w:rsid w:val="007B2C5B"/>
    <w:rsid w:val="007B3792"/>
    <w:rsid w:val="007B408D"/>
    <w:rsid w:val="007B4C23"/>
    <w:rsid w:val="007C236D"/>
    <w:rsid w:val="007C2C9C"/>
    <w:rsid w:val="007C4249"/>
    <w:rsid w:val="007C46AD"/>
    <w:rsid w:val="007D0CCE"/>
    <w:rsid w:val="007D1F51"/>
    <w:rsid w:val="007D3198"/>
    <w:rsid w:val="007D3EA1"/>
    <w:rsid w:val="007D3FD1"/>
    <w:rsid w:val="007D44F7"/>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5FC"/>
    <w:rsid w:val="00807984"/>
    <w:rsid w:val="00807F0C"/>
    <w:rsid w:val="0081031F"/>
    <w:rsid w:val="00811BCC"/>
    <w:rsid w:val="00812C1E"/>
    <w:rsid w:val="00812E22"/>
    <w:rsid w:val="008150F3"/>
    <w:rsid w:val="00815E69"/>
    <w:rsid w:val="00816D24"/>
    <w:rsid w:val="008205B8"/>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0E29"/>
    <w:rsid w:val="0086182D"/>
    <w:rsid w:val="00861F2E"/>
    <w:rsid w:val="008637DE"/>
    <w:rsid w:val="00865723"/>
    <w:rsid w:val="00865DEA"/>
    <w:rsid w:val="00866BC8"/>
    <w:rsid w:val="00872D6C"/>
    <w:rsid w:val="00874416"/>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4ED"/>
    <w:rsid w:val="008B169F"/>
    <w:rsid w:val="008B173D"/>
    <w:rsid w:val="008B30ED"/>
    <w:rsid w:val="008B32BE"/>
    <w:rsid w:val="008B4734"/>
    <w:rsid w:val="008B48AF"/>
    <w:rsid w:val="008B4F6A"/>
    <w:rsid w:val="008B6E61"/>
    <w:rsid w:val="008C04BC"/>
    <w:rsid w:val="008C1537"/>
    <w:rsid w:val="008C19D9"/>
    <w:rsid w:val="008C1B3A"/>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4525"/>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17855"/>
    <w:rsid w:val="00920AFE"/>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16CD"/>
    <w:rsid w:val="00995678"/>
    <w:rsid w:val="0099766E"/>
    <w:rsid w:val="009A4981"/>
    <w:rsid w:val="009A5003"/>
    <w:rsid w:val="009A513D"/>
    <w:rsid w:val="009B1798"/>
    <w:rsid w:val="009B23B8"/>
    <w:rsid w:val="009B38E7"/>
    <w:rsid w:val="009B5379"/>
    <w:rsid w:val="009B5884"/>
    <w:rsid w:val="009B6D59"/>
    <w:rsid w:val="009C0E48"/>
    <w:rsid w:val="009C1D51"/>
    <w:rsid w:val="009C1F29"/>
    <w:rsid w:val="009C278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3DB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0CA"/>
    <w:rsid w:val="00A51C02"/>
    <w:rsid w:val="00A52162"/>
    <w:rsid w:val="00A57ABE"/>
    <w:rsid w:val="00A6102A"/>
    <w:rsid w:val="00A610F2"/>
    <w:rsid w:val="00A635DA"/>
    <w:rsid w:val="00A64E2A"/>
    <w:rsid w:val="00A66110"/>
    <w:rsid w:val="00A661EA"/>
    <w:rsid w:val="00A70AD1"/>
    <w:rsid w:val="00A70E13"/>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1D96"/>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3FAC"/>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45D0"/>
    <w:rsid w:val="00B25289"/>
    <w:rsid w:val="00B26B41"/>
    <w:rsid w:val="00B3051F"/>
    <w:rsid w:val="00B32C00"/>
    <w:rsid w:val="00B3341B"/>
    <w:rsid w:val="00B336F4"/>
    <w:rsid w:val="00B36BC3"/>
    <w:rsid w:val="00B3734C"/>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67AF2"/>
    <w:rsid w:val="00B702F9"/>
    <w:rsid w:val="00B76CA8"/>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4339"/>
    <w:rsid w:val="00BB520F"/>
    <w:rsid w:val="00BB5EC7"/>
    <w:rsid w:val="00BB7EF7"/>
    <w:rsid w:val="00BC0A33"/>
    <w:rsid w:val="00BC4A7D"/>
    <w:rsid w:val="00BC5447"/>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5EF"/>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03FB"/>
    <w:rsid w:val="00CC1C92"/>
    <w:rsid w:val="00CC2BFE"/>
    <w:rsid w:val="00CC43EB"/>
    <w:rsid w:val="00CC4466"/>
    <w:rsid w:val="00CC4B23"/>
    <w:rsid w:val="00CC4C27"/>
    <w:rsid w:val="00CD05F6"/>
    <w:rsid w:val="00CD0ABE"/>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37E1"/>
    <w:rsid w:val="00CF5462"/>
    <w:rsid w:val="00CF617C"/>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112"/>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B7E9C"/>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762"/>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6F9C"/>
    <w:rsid w:val="00E17A15"/>
    <w:rsid w:val="00E208A5"/>
    <w:rsid w:val="00E20908"/>
    <w:rsid w:val="00E20E7A"/>
    <w:rsid w:val="00E20E89"/>
    <w:rsid w:val="00E26C42"/>
    <w:rsid w:val="00E27D8A"/>
    <w:rsid w:val="00E33D8F"/>
    <w:rsid w:val="00E35D3D"/>
    <w:rsid w:val="00E40D9C"/>
    <w:rsid w:val="00E4269E"/>
    <w:rsid w:val="00E42CF2"/>
    <w:rsid w:val="00E448B5"/>
    <w:rsid w:val="00E503A6"/>
    <w:rsid w:val="00E50433"/>
    <w:rsid w:val="00E52026"/>
    <w:rsid w:val="00E542C1"/>
    <w:rsid w:val="00E54709"/>
    <w:rsid w:val="00E554AC"/>
    <w:rsid w:val="00E5555E"/>
    <w:rsid w:val="00E576B6"/>
    <w:rsid w:val="00E57F81"/>
    <w:rsid w:val="00E60C50"/>
    <w:rsid w:val="00E61074"/>
    <w:rsid w:val="00E62121"/>
    <w:rsid w:val="00E62DC2"/>
    <w:rsid w:val="00E661C4"/>
    <w:rsid w:val="00E66BAC"/>
    <w:rsid w:val="00E678DD"/>
    <w:rsid w:val="00E700E6"/>
    <w:rsid w:val="00E7025E"/>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3EEA"/>
    <w:rsid w:val="00EA4478"/>
    <w:rsid w:val="00EA482E"/>
    <w:rsid w:val="00EA6378"/>
    <w:rsid w:val="00EA672A"/>
    <w:rsid w:val="00EA770C"/>
    <w:rsid w:val="00EB166D"/>
    <w:rsid w:val="00EB1FF8"/>
    <w:rsid w:val="00EB3536"/>
    <w:rsid w:val="00EB4775"/>
    <w:rsid w:val="00EB53F9"/>
    <w:rsid w:val="00EB5F3E"/>
    <w:rsid w:val="00EC0791"/>
    <w:rsid w:val="00EC28AC"/>
    <w:rsid w:val="00ED044B"/>
    <w:rsid w:val="00ED189B"/>
    <w:rsid w:val="00ED4588"/>
    <w:rsid w:val="00ED4841"/>
    <w:rsid w:val="00ED64C2"/>
    <w:rsid w:val="00ED6B94"/>
    <w:rsid w:val="00EE1998"/>
    <w:rsid w:val="00EE2967"/>
    <w:rsid w:val="00EE5513"/>
    <w:rsid w:val="00EE5F1B"/>
    <w:rsid w:val="00EE618C"/>
    <w:rsid w:val="00EE6202"/>
    <w:rsid w:val="00EE7AB9"/>
    <w:rsid w:val="00EE7B28"/>
    <w:rsid w:val="00EF0D12"/>
    <w:rsid w:val="00EF15B1"/>
    <w:rsid w:val="00EF1D55"/>
    <w:rsid w:val="00EF2012"/>
    <w:rsid w:val="00EF21F4"/>
    <w:rsid w:val="00EF2DCE"/>
    <w:rsid w:val="00EF436D"/>
    <w:rsid w:val="00EF4ABA"/>
    <w:rsid w:val="00EF5EA1"/>
    <w:rsid w:val="00F026D0"/>
    <w:rsid w:val="00F0430C"/>
    <w:rsid w:val="00F055C2"/>
    <w:rsid w:val="00F05603"/>
    <w:rsid w:val="00F11F29"/>
    <w:rsid w:val="00F12F88"/>
    <w:rsid w:val="00F12FB3"/>
    <w:rsid w:val="00F20582"/>
    <w:rsid w:val="00F23613"/>
    <w:rsid w:val="00F23F4D"/>
    <w:rsid w:val="00F25F0A"/>
    <w:rsid w:val="00F30AF8"/>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BB2"/>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296685215">
      <w:bodyDiv w:val="1"/>
      <w:marLeft w:val="0"/>
      <w:marRight w:val="0"/>
      <w:marTop w:val="0"/>
      <w:marBottom w:val="0"/>
      <w:divBdr>
        <w:top w:val="none" w:sz="0" w:space="0" w:color="auto"/>
        <w:left w:val="none" w:sz="0" w:space="0" w:color="auto"/>
        <w:bottom w:val="none" w:sz="0" w:space="0" w:color="auto"/>
        <w:right w:val="none" w:sz="0" w:space="0" w:color="auto"/>
      </w:divBdr>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 w:id="20792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01537&amp;actionCode=56647&amp;enterCode=2" TargetMode="External"/><Relationship Id="rId13" Type="http://schemas.openxmlformats.org/officeDocument/2006/relationships/hyperlink" Target="http://click.erreparmail.com/access.epl?shopperID=930376&amp;actionCode=56628&amp;enterCode=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ick.erreparmail.com/access.epl?shopperID=930376&amp;actionCode=56628&amp;enterCode=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erreparmail.com/access.epl?shopperID=930376&amp;actionCode=56628&amp;enterCode=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lick.erreparmail.com/access.epl?shopperID=930384&amp;actionCode=56652&amp;enterCode=20" TargetMode="External"/><Relationship Id="rId4" Type="http://schemas.openxmlformats.org/officeDocument/2006/relationships/settings" Target="settings.xml"/><Relationship Id="rId9" Type="http://schemas.openxmlformats.org/officeDocument/2006/relationships/hyperlink" Target="http://click.erreparmail.com/access.epl?shopperID=930384&amp;actionCode=56652&amp;enterCode=19" TargetMode="External"/><Relationship Id="rId14" Type="http://schemas.openxmlformats.org/officeDocument/2006/relationships/hyperlink" Target="http://click.erreparmail.com/access.epl?shopperID=930376&amp;actionCode=56628&amp;enterCode=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45118-3D09-4884-BCA9-233E14C23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1198</Words>
  <Characters>6595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4</cp:revision>
  <dcterms:created xsi:type="dcterms:W3CDTF">2020-12-11T19:55:00Z</dcterms:created>
  <dcterms:modified xsi:type="dcterms:W3CDTF">2020-12-11T20:04:00Z</dcterms:modified>
</cp:coreProperties>
</file>